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Zapytanie ofertowe nr  6</w:t>
      </w:r>
      <w:bookmarkStart w:id="1" w:name="_Hlk216774726"/>
      <w:r>
        <w:rPr>
          <w:rFonts w:eastAsia="Times New Roman" w:cs="Times New Roman" w:ascii="Times New Roman" w:hAnsi="Times New Roman"/>
          <w:b/>
          <w:bCs/>
          <w:kern w:val="0"/>
          <w:sz w:val="27"/>
          <w:szCs w:val="27"/>
          <w:lang w:eastAsia="pl-PL"/>
          <w14:ligatures w14:val="none"/>
        </w:rPr>
        <w:t>/</w:t>
      </w:r>
      <w:bookmarkEnd w:id="0"/>
      <w:bookmarkEnd w:id="1"/>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Waga medyczna oraz waga medyczna niemowlęca”</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w:t>
      </w:r>
      <w:r>
        <w:rPr>
          <w:rFonts w:eastAsia="Times New Roman" w:cs="Times New Roman" w:ascii="Times New Roman" w:hAnsi="Times New Roman"/>
          <w:kern w:val="0"/>
          <w:sz w:val="24"/>
          <w:szCs w:val="24"/>
          <w:lang w:eastAsia="pl-PL"/>
          <w14:ligatures w14:val="none"/>
        </w:rPr>
        <w:t>6</w:t>
      </w:r>
      <w:r>
        <w:rPr>
          <w:rFonts w:eastAsia="Times New Roman" w:cs="Times New Roman" w:ascii="Times New Roman" w:hAnsi="Times New Roman"/>
          <w:kern w:val="0"/>
          <w:sz w:val="24"/>
          <w:szCs w:val="24"/>
          <w:lang w:eastAsia="pl-PL"/>
          <w14:ligatures w14:val="none"/>
        </w:rPr>
        <w:t>.</w:t>
      </w:r>
      <w:r>
        <w:rPr>
          <w:rFonts w:eastAsia="Times New Roman" w:cs="Times New Roman" w:ascii="Times New Roman" w:hAnsi="Times New Roman"/>
          <w:kern w:val="0"/>
          <w:sz w:val="24"/>
          <w:szCs w:val="24"/>
          <w:lang w:eastAsia="pl-PL"/>
          <w14:ligatures w14:val="none"/>
        </w:rPr>
        <w:t>01</w:t>
      </w:r>
      <w:r>
        <w:rPr>
          <w:rFonts w:eastAsia="Times New Roman" w:cs="Times New Roman" w:ascii="Times New Roman" w:hAnsi="Times New Roman"/>
          <w:kern w:val="0"/>
          <w:sz w:val="24"/>
          <w:szCs w:val="24"/>
          <w:lang w:eastAsia="pl-PL"/>
          <w14:ligatures w14:val="none"/>
        </w:rPr>
        <w:t>.202</w:t>
      </w:r>
      <w:r>
        <w:rPr>
          <w:rFonts w:eastAsia="Times New Roman" w:cs="Times New Roman" w:ascii="Times New Roman" w:hAnsi="Times New Roman"/>
          <w:kern w:val="0"/>
          <w:sz w:val="24"/>
          <w:szCs w:val="24"/>
          <w:lang w:eastAsia="pl-PL"/>
          <w14:ligatures w14:val="none"/>
        </w:rPr>
        <w:t>6</w:t>
      </w:r>
      <w:r>
        <w:rPr>
          <w:rFonts w:eastAsia="Times New Roman" w:cs="Times New Roman" w:ascii="Times New Roman" w:hAnsi="Times New Roman"/>
          <w:kern w:val="0"/>
          <w:sz w:val="24"/>
          <w:szCs w:val="24"/>
          <w:lang w:eastAsia="pl-PL"/>
          <w14:ligatures w14:val="none"/>
        </w:rPr>
        <w:t xml:space="preserve">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Zapytanie ofertowe nr 6</w:t>
      </w:r>
      <w:r>
        <w:rPr>
          <w:rFonts w:eastAsia="Times New Roman" w:cs="Times New Roman" w:ascii="Times New Roman" w:hAnsi="Times New Roman"/>
          <w:b/>
          <w:bCs/>
          <w:kern w:val="0"/>
          <w:sz w:val="27"/>
          <w:szCs w:val="27"/>
          <w:lang w:eastAsia="pl-PL"/>
          <w14:ligatures w14:val="none"/>
        </w:rPr>
        <w:t>/</w:t>
      </w:r>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„Waga medyczna oraz waga medyczna niemowlęca”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„Waga medyczna oraz waga medyczna niemowlęca”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Waga medyczna: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wyrób medyczny, przeznaczony dla profesjonalistów,</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waga urządzenia do 7 kg,</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nośność wagi: 200 kg,</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zasilacz, baterie,</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legalizacja ,</w:t>
      </w:r>
    </w:p>
    <w:p>
      <w:pPr>
        <w:pStyle w:val="ListParagraph"/>
        <w:numPr>
          <w:ilvl w:val="0"/>
          <w:numId w:val="0"/>
        </w:numPr>
        <w:spacing w:lineRule="auto" w:line="240" w:beforeAutospacing="1" w:after="0"/>
        <w:ind w:hanging="0" w:left="720"/>
        <w:contextualSpacing/>
        <w:jc w:val="both"/>
        <w:rPr>
          <w:rFonts w:ascii="Times New Roman" w:hAnsi="Times New Roman" w:eastAsia="Times New Roman" w:cs="Times New Roman"/>
          <w:kern w:val="0"/>
          <w:sz w:val="24"/>
          <w:szCs w:val="24"/>
          <w:lang w:eastAsia="pl-PL"/>
          <w14:ligatures w14:val="none"/>
        </w:rPr>
      </w:pPr>
      <w:r>
        <w:rPr>
          <w:rFonts w:ascii="Times New Roman" w:hAnsi="Times New Roman"/>
          <w:b/>
          <w:bCs/>
          <w:sz w:val="24"/>
          <w:szCs w:val="24"/>
        </w:rPr>
        <w:t>- funkcję obliczania wskaźnika BMI, który stanowi stosunek wzrostu do wagi,</w:t>
      </w:r>
    </w:p>
    <w:p>
      <w:pPr>
        <w:pStyle w:val="ListParagraph"/>
        <w:numPr>
          <w:ilvl w:val="0"/>
          <w:numId w:val="0"/>
        </w:numPr>
        <w:spacing w:lineRule="auto" w:line="240" w:beforeAutospacing="1" w:after="0"/>
        <w:ind w:hanging="0" w:left="720"/>
        <w:contextualSpacing/>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color w:val="000000"/>
          <w:sz w:val="24"/>
          <w:szCs w:val="24"/>
        </w:rPr>
        <w:t>- rodzaj wagi: Waga kolumnowa,</w:t>
      </w:r>
    </w:p>
    <w:p>
      <w:pPr>
        <w:pStyle w:val="ListParagraph"/>
        <w:numPr>
          <w:ilvl w:val="0"/>
          <w:numId w:val="0"/>
        </w:numPr>
        <w:spacing w:lineRule="auto" w:line="240" w:beforeAutospacing="1" w:after="0"/>
        <w:ind w:hanging="0" w:left="720"/>
        <w:contextualSpacing/>
        <w:jc w:val="both"/>
        <w:rPr>
          <w:rFonts w:ascii="Times New Roman" w:hAnsi="Times New Roman"/>
          <w:b/>
          <w:bCs/>
          <w:color w:val="000000"/>
          <w:sz w:val="24"/>
          <w:szCs w:val="24"/>
        </w:rPr>
      </w:pPr>
      <w:r>
        <w:rPr>
          <w:rFonts w:ascii="Times New Roman" w:hAnsi="Times New Roman"/>
          <w:b/>
          <w:bCs/>
          <w:color w:val="000000"/>
          <w:sz w:val="24"/>
          <w:szCs w:val="24"/>
        </w:rPr>
        <w:t xml:space="preserve"> </w:t>
      </w:r>
      <w:r>
        <w:rPr>
          <w:rFonts w:ascii="Times New Roman" w:hAnsi="Times New Roman"/>
          <w:b/>
          <w:bCs/>
          <w:color w:val="000000"/>
          <w:sz w:val="24"/>
          <w:szCs w:val="24"/>
        </w:rPr>
        <w:t>- waga posiada wzrostomierz,</w:t>
      </w:r>
    </w:p>
    <w:p>
      <w:pPr>
        <w:pStyle w:val="ListParagraph"/>
        <w:numPr>
          <w:ilvl w:val="0"/>
          <w:numId w:val="0"/>
        </w:numPr>
        <w:spacing w:lineRule="auto" w:line="240" w:beforeAutospacing="1" w:after="0"/>
        <w:ind w:hanging="0" w:left="720"/>
        <w:contextualSpacing/>
        <w:jc w:val="both"/>
        <w:rPr>
          <w:rFonts w:ascii="Times New Roman" w:hAnsi="Times New Roman"/>
          <w:b/>
          <w:bCs/>
          <w:color w:val="000000"/>
          <w:sz w:val="24"/>
          <w:szCs w:val="24"/>
        </w:rPr>
      </w:pPr>
      <w:r>
        <w:rPr>
          <w:rFonts w:ascii="Times New Roman" w:hAnsi="Times New Roman"/>
          <w:b/>
          <w:bCs/>
          <w:color w:val="000000"/>
          <w:sz w:val="24"/>
          <w:szCs w:val="24"/>
        </w:rPr>
        <w:t>- rolki transportowe,</w:t>
      </w:r>
    </w:p>
    <w:p>
      <w:pPr>
        <w:pStyle w:val="ListParagraph"/>
        <w:numPr>
          <w:ilvl w:val="0"/>
          <w:numId w:val="0"/>
        </w:numPr>
        <w:spacing w:lineRule="auto" w:line="240" w:beforeAutospacing="1" w:after="0"/>
        <w:ind w:hanging="0" w:left="720"/>
        <w:contextualSpacing/>
        <w:jc w:val="both"/>
        <w:rPr/>
      </w:pPr>
      <w:r>
        <w:rPr>
          <w:rFonts w:ascii="Times New Roman" w:hAnsi="Times New Roman"/>
          <w:b/>
          <w:bCs/>
          <w:color w:val="000000"/>
          <w:sz w:val="24"/>
          <w:szCs w:val="24"/>
        </w:rPr>
        <w:t xml:space="preserve">- podziałka - </w:t>
      </w:r>
      <w:r>
        <w:rPr/>
        <w:t>100 g &lt; 150 kg &gt; 200 g ,</w:t>
      </w:r>
    </w:p>
    <w:p>
      <w:pPr>
        <w:pStyle w:val="ListParagraph"/>
        <w:numPr>
          <w:ilvl w:val="0"/>
          <w:numId w:val="0"/>
        </w:numPr>
        <w:spacing w:lineRule="auto" w:line="240" w:beforeAutospacing="1" w:after="0"/>
        <w:ind w:hanging="0" w:left="720"/>
        <w:contextualSpacing/>
        <w:jc w:val="both"/>
        <w:rPr/>
      </w:pPr>
      <w:r>
        <w:rPr>
          <w:rFonts w:ascii="Times New Roman" w:hAnsi="Times New Roman"/>
          <w:b/>
          <w:bCs/>
          <w:color w:val="000000"/>
          <w:sz w:val="24"/>
          <w:szCs w:val="24"/>
        </w:rPr>
        <w:t xml:space="preserve">- </w:t>
      </w:r>
      <w:r>
        <w:rPr>
          <w:rFonts w:ascii="Times New Roman" w:hAnsi="Times New Roman"/>
          <w:b/>
          <w:bCs/>
          <w:i w:val="false"/>
          <w:caps w:val="false"/>
          <w:smallCaps w:val="false"/>
          <w:color w:val="333333"/>
          <w:spacing w:val="0"/>
          <w:sz w:val="24"/>
          <w:szCs w:val="24"/>
        </w:rPr>
        <w:t>III Klasa</w:t>
      </w:r>
      <w:r>
        <w:rPr>
          <w:rFonts w:ascii="Times New Roman" w:hAnsi="Times New Roman"/>
          <w:b/>
          <w:bCs/>
          <w:sz w:val="24"/>
          <w:szCs w:val="24"/>
        </w:rPr>
        <w:t xml:space="preserve"> dokładności</w:t>
      </w:r>
    </w:p>
    <w:p>
      <w:pPr>
        <w:pStyle w:val="ListParagraph"/>
        <w:numPr>
          <w:ilvl w:val="0"/>
          <w:numId w:val="0"/>
        </w:numPr>
        <w:spacing w:lineRule="auto" w:line="240" w:beforeAutospacing="1" w:after="0"/>
        <w:ind w:hanging="0" w:left="720"/>
        <w:contextualSpacing/>
        <w:jc w:val="both"/>
        <w:rPr>
          <w:sz w:val="24"/>
          <w:szCs w:val="24"/>
        </w:rPr>
      </w:pPr>
      <w:r>
        <w:rPr>
          <w:rFonts w:ascii="Times New Roman" w:hAnsi="Times New Roman"/>
          <w:b/>
          <w:bCs/>
          <w:sz w:val="24"/>
          <w:szCs w:val="24"/>
        </w:rPr>
        <w:t xml:space="preserve">- spełnia europejskie wymogi dot. wyrobów medycznych </w:t>
      </w:r>
      <w:bookmarkStart w:id="3" w:name="product-attribute-specs-table"/>
      <w:bookmarkEnd w:id="3"/>
      <w:r>
        <w:rPr>
          <w:rFonts w:ascii="Times New Roman" w:hAnsi="Times New Roman"/>
          <w:b/>
          <w:bCs/>
          <w:sz w:val="24"/>
          <w:szCs w:val="24"/>
        </w:rPr>
        <w:t xml:space="preserve">CE </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Waga medyczna niemowlęca:</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Klasa dokładności : III (3)</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Nośność 20 kg</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Podziałka 5 g&lt;7,5&gt; 10 g</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Zasilanie Baterie (w zestawie); zasilacz (w zestawie)</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Wymiary 620x190x358 mm</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Waga netto 3,7 kg</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Legalizacja : TAK</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Funkcje </w:t>
      </w:r>
      <w:r>
        <w:rPr>
          <w:rFonts w:eastAsia="Times New Roman" w:cs="Times New Roman" w:ascii="Times New Roman" w:hAnsi="Times New Roman"/>
          <w:b w:val="false"/>
          <w:bCs w:val="false"/>
          <w:kern w:val="0"/>
          <w:sz w:val="24"/>
          <w:szCs w:val="24"/>
          <w:lang w:eastAsia="pl-PL"/>
          <w14:ligatures w14:val="none"/>
        </w:rPr>
        <w:t>A</w:t>
      </w:r>
      <w:r>
        <w:rPr>
          <w:rFonts w:eastAsia="Times New Roman" w:cs="Times New Roman" w:ascii="Tahoma" w:hAnsi="Tahoma"/>
          <w:b w:val="false"/>
          <w:bCs w:val="false"/>
          <w:kern w:val="0"/>
          <w:sz w:val="20"/>
          <w:szCs w:val="24"/>
          <w:lang w:eastAsia="pl-PL"/>
          <w14:ligatures w14:val="none"/>
        </w:rPr>
        <w:t>utomatyczne wyłączanie, TARA, Breast Milk Intake Function, HOLD, Auto-HOLD, Auto-CLEAR, resetowanie, sygnały dźwiękowe, amortyzacja, ochrona przed przeciążeniem,, automatyczne przełączanie zakresów ważenia przeciążeniem, automatyczne przełączanie zakresów ważenia</w:t>
      </w:r>
    </w:p>
    <w:p>
      <w:pPr>
        <w:pStyle w:val="ListParagraph"/>
        <w:numPr>
          <w:ilvl w:val="0"/>
          <w:numId w:val="0"/>
        </w:numPr>
        <w:spacing w:lineRule="auto" w:line="240" w:beforeAutospacing="1" w:after="0"/>
        <w:ind w:hanging="0" w:left="0"/>
        <w:contextualSpacing/>
        <w:jc w:val="both"/>
        <w:rPr>
          <w:rFonts w:ascii="Times New Roman" w:hAnsi="Times New Roman" w:eastAsia="Times New Roman" w:cs="Times New Roman"/>
          <w:kern w:val="0"/>
          <w:sz w:val="24"/>
          <w:szCs w:val="24"/>
          <w:lang w:eastAsia="pl-PL"/>
          <w14:ligatures w14:val="none"/>
        </w:rPr>
      </w:pPr>
      <w:r>
        <w:rPr>
          <w:rFonts w:eastAsia="Times New Roman" w:cs="Times New Roman" w:ascii="Tahoma" w:hAnsi="Tahoma"/>
          <w:b/>
          <w:bCs/>
          <w:kern w:val="0"/>
          <w:sz w:val="20"/>
          <w:szCs w:val="24"/>
          <w:lang w:eastAsia="pl-PL"/>
          <w14:ligatures w14:val="none"/>
        </w:rPr>
        <w:t>Certyfikat:</w:t>
      </w:r>
      <w:r>
        <w:rPr>
          <w:rFonts w:eastAsia="Times New Roman" w:cs="Times New Roman" w:ascii="Tahoma" w:hAnsi="Tahoma"/>
          <w:b w:val="false"/>
          <w:bCs w:val="false"/>
          <w:kern w:val="0"/>
          <w:sz w:val="20"/>
          <w:szCs w:val="24"/>
          <w:lang w:eastAsia="pl-PL"/>
          <w14:ligatures w14:val="none"/>
        </w:rPr>
        <w:t xml:space="preserve"> CE 0109, 0123</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2026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3</w:t>
      </w:r>
      <w:r>
        <w:rPr>
          <w:rFonts w:eastAsia="Times New Roman" w:cs="Times New Roman" w:ascii="Times New Roman" w:hAnsi="Times New Roman"/>
          <w:b/>
          <w:bCs/>
          <w:kern w:val="0"/>
          <w:sz w:val="24"/>
          <w:szCs w:val="24"/>
          <w:lang w:eastAsia="pl-PL"/>
          <w14:ligatures w14:val="none"/>
        </w:rPr>
        <w:t>0</w:t>
      </w: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01</w:t>
      </w:r>
      <w:r>
        <w:rPr>
          <w:rFonts w:eastAsia="Times New Roman" w:cs="Times New Roman" w:ascii="Times New Roman" w:hAnsi="Times New Roman"/>
          <w:b/>
          <w:bCs/>
          <w:kern w:val="0"/>
          <w:sz w:val="24"/>
          <w:szCs w:val="24"/>
          <w:lang w:eastAsia="pl-PL"/>
          <w14:ligatures w14:val="none"/>
        </w:rPr>
        <w:t>.202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 Wynik postępowania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Warunkiem rozpatrzenia oferty jest przekazanie oświadczenia o braku współpracy z Rosją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Tahom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character" w:styleId="Znakiwypunktowaniauser">
    <w:name w:val="Znaki wypunktowania (user)"/>
    <w:qFormat/>
    <w:rPr>
      <w:rFonts w:ascii="OpenSymbol" w:hAnsi="OpenSymbol" w:eastAsia="OpenSymbol" w:cs="OpenSymbol"/>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LibreOffice/25.8.4.2$Windows_X86_64 LibreOffice_project/290daaa01b999472f0c7a3890eb6a550fd74c6df</Application>
  <AppVersion>15.0000</AppVersion>
  <Pages>5</Pages>
  <Words>1371</Words>
  <Characters>8963</Characters>
  <CharactersWithSpaces>10278</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2026-01-16T13:35:43Z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